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2AE5" w14:textId="77777777" w:rsidR="00662DE3" w:rsidRDefault="00662DE3" w:rsidP="00A338BA">
      <w:pPr>
        <w:rPr>
          <w:rFonts w:ascii="Arial" w:hAnsi="Arial" w:cs="Arial"/>
          <w:sz w:val="32"/>
          <w:szCs w:val="32"/>
        </w:rPr>
      </w:pPr>
    </w:p>
    <w:p w14:paraId="401F720D" w14:textId="3284E70D" w:rsidR="00147761" w:rsidRDefault="00F54CDE" w:rsidP="00CD4998">
      <w:pPr>
        <w:pStyle w:val="Section-CFS"/>
      </w:pPr>
      <w:r>
        <w:t>Part</w:t>
      </w:r>
      <w:r w:rsidR="00147761" w:rsidRPr="008E40F2">
        <w:t xml:space="preserve"> 3 - EXECUTION</w:t>
      </w:r>
    </w:p>
    <w:p w14:paraId="116734EB" w14:textId="71E6EB2F" w:rsidR="00147761" w:rsidRPr="00662DE3" w:rsidRDefault="00147761" w:rsidP="00A8249E">
      <w:pPr>
        <w:pStyle w:val="Heading-CFS"/>
      </w:pPr>
      <w:r w:rsidRPr="00A8249E">
        <w:t>EXCAVATION</w:t>
      </w:r>
    </w:p>
    <w:p w14:paraId="3F65C6D4" w14:textId="77777777" w:rsidR="00147761" w:rsidRDefault="00147761" w:rsidP="00CA0304">
      <w:pPr>
        <w:pStyle w:val="Paragraph-CFS"/>
        <w:numPr>
          <w:ilvl w:val="0"/>
          <w:numId w:val="88"/>
        </w:numPr>
      </w:pPr>
      <w:r w:rsidRPr="00365834">
        <w:t>Excavation, trenching, and backfilling are specified in Division 2.</w:t>
      </w:r>
    </w:p>
    <w:p w14:paraId="3E899A58" w14:textId="109EF816" w:rsidR="00147761" w:rsidRPr="00662DE3" w:rsidRDefault="00EB4745" w:rsidP="00A8249E">
      <w:pPr>
        <w:pStyle w:val="Heading-CFS"/>
      </w:pPr>
      <w:r>
        <w:t>FUEL</w:t>
      </w:r>
      <w:r w:rsidR="00147761" w:rsidRPr="00662DE3">
        <w:t xml:space="preserve"> </w:t>
      </w:r>
      <w:r w:rsidR="00147761" w:rsidRPr="00A8249E">
        <w:t>TANK</w:t>
      </w:r>
      <w:r w:rsidR="00147761" w:rsidRPr="00662DE3">
        <w:t xml:space="preserve"> INSTALLATION</w:t>
      </w:r>
    </w:p>
    <w:p w14:paraId="3FF2E7F4" w14:textId="77777777" w:rsidR="00147761" w:rsidRPr="00365834" w:rsidRDefault="00147761" w:rsidP="00CA0304">
      <w:pPr>
        <w:pStyle w:val="Paragraph-CFS"/>
        <w:numPr>
          <w:ilvl w:val="0"/>
          <w:numId w:val="89"/>
        </w:numPr>
      </w:pPr>
      <w:r w:rsidRPr="00365834">
        <w:t>Install tanks in strict accordance with the manufacturer’s recommendations, PEI/RP100 and PEI-RP200, and applicable fire and environmental codes.  State and local permits shall be obtained prior to installation.</w:t>
      </w:r>
    </w:p>
    <w:p w14:paraId="64B94824" w14:textId="0DEE17EF" w:rsidR="00147761" w:rsidRPr="00365834" w:rsidRDefault="00147761" w:rsidP="00CD4998">
      <w:pPr>
        <w:pStyle w:val="Paragraph-CFS"/>
      </w:pPr>
      <w:r w:rsidRPr="00365834">
        <w:t xml:space="preserve">Aboveground tanks shall be clearly marked on all sides with warning signs: “FLAMMABLE” or “COMBUSTIBLE”, “NO SMOKING”, tank volume, product identification, and other signs as required by the applicable codes. </w:t>
      </w:r>
    </w:p>
    <w:p w14:paraId="33117860" w14:textId="77777777" w:rsidR="00147761" w:rsidRPr="00365834" w:rsidRDefault="00147761" w:rsidP="00CD4998">
      <w:pPr>
        <w:pStyle w:val="Paragraph-CFS"/>
      </w:pPr>
      <w:r w:rsidRPr="00365834">
        <w:t>Electrical work shall be in accordance with applicable codes and shall be rated for hazardous area as required.  Tanks shall be electrically grounded in accordance with N.F.P.A. 78.</w:t>
      </w:r>
    </w:p>
    <w:p w14:paraId="4043D8E9" w14:textId="77777777" w:rsidR="00147761" w:rsidRPr="00365834" w:rsidRDefault="00147761" w:rsidP="00CD4998">
      <w:pPr>
        <w:pStyle w:val="Paragraph-CFS"/>
      </w:pPr>
      <w:r w:rsidRPr="00365834">
        <w:t>The tank installation shall be inspected and approved by the tank supplier or its certified contractor.  The tank supplier shall submit a comprehensive check-list of quality and safety items critical to the system and verify that the installation has been in accordance with these standards and applicable fire and environmental codes.</w:t>
      </w:r>
    </w:p>
    <w:p w14:paraId="05E53AEA" w14:textId="4550A336" w:rsidR="00147761" w:rsidRPr="007E46C6" w:rsidRDefault="00147761" w:rsidP="00A8249E">
      <w:pPr>
        <w:pStyle w:val="Heading-CFS"/>
      </w:pPr>
      <w:r w:rsidRPr="00A8249E">
        <w:t>ABOVEGROUND</w:t>
      </w:r>
      <w:r w:rsidRPr="007E46C6">
        <w:t xml:space="preserve"> PIPING INSTALLATION</w:t>
      </w:r>
    </w:p>
    <w:p w14:paraId="4611D56F" w14:textId="77777777" w:rsidR="00147761" w:rsidRPr="00365834" w:rsidRDefault="00147761" w:rsidP="00CA0304">
      <w:pPr>
        <w:pStyle w:val="Paragraph-CFS"/>
        <w:numPr>
          <w:ilvl w:val="0"/>
          <w:numId w:val="90"/>
        </w:numPr>
      </w:pPr>
      <w:r w:rsidRPr="00365834">
        <w:t>Install in accordance with the manufacturer’s instructions and PEI/RP200-92.</w:t>
      </w:r>
    </w:p>
    <w:p w14:paraId="3535E688" w14:textId="0218DB68" w:rsidR="00147761" w:rsidRPr="00365834" w:rsidRDefault="00147761" w:rsidP="00CD4998">
      <w:pPr>
        <w:pStyle w:val="Paragraph-CFS"/>
      </w:pPr>
      <w:r w:rsidRPr="00365834">
        <w:t xml:space="preserve">Inspect all materials for signs of damage and confirm compliance with specifications. </w:t>
      </w:r>
    </w:p>
    <w:p w14:paraId="6FD9B5C3" w14:textId="77777777" w:rsidR="00147761" w:rsidRPr="00365834" w:rsidRDefault="00147761" w:rsidP="00CD4998">
      <w:pPr>
        <w:pStyle w:val="Paragraph-CFS"/>
      </w:pPr>
      <w:r w:rsidRPr="00365834">
        <w:t>Avoid damage to piping materials or coatings during handling, installation and testing.</w:t>
      </w:r>
    </w:p>
    <w:p w14:paraId="0E1EE930" w14:textId="77777777" w:rsidR="00147761" w:rsidRPr="00365834" w:rsidRDefault="00147761" w:rsidP="00CD4998">
      <w:pPr>
        <w:pStyle w:val="Paragraph-CFS"/>
      </w:pPr>
      <w:r w:rsidRPr="00365834">
        <w:t>Provide adequate support for piping on 10’ centers minimum.</w:t>
      </w:r>
    </w:p>
    <w:p w14:paraId="52E486EA" w14:textId="77777777" w:rsidR="00147761" w:rsidRPr="00365834" w:rsidRDefault="00147761" w:rsidP="00CD4998">
      <w:pPr>
        <w:pStyle w:val="Paragraph-CFS"/>
      </w:pPr>
      <w:r w:rsidRPr="00365834">
        <w:t>Group piping whenever practical at common elevations.</w:t>
      </w:r>
    </w:p>
    <w:p w14:paraId="2418ACDB" w14:textId="77777777" w:rsidR="00147761" w:rsidRPr="00365834" w:rsidRDefault="00147761" w:rsidP="00CD4998">
      <w:pPr>
        <w:pStyle w:val="Paragraph-CFS"/>
      </w:pPr>
      <w:r w:rsidRPr="00365834">
        <w:t>Install piping to allow for expansion and contraction so that pipe, joints, or connected equipment will not be stressed.</w:t>
      </w:r>
    </w:p>
    <w:p w14:paraId="61AC0BF9" w14:textId="77777777" w:rsidR="00147761" w:rsidRPr="00365834" w:rsidRDefault="00147761" w:rsidP="00CD4998">
      <w:pPr>
        <w:pStyle w:val="Paragraph-CFS"/>
      </w:pPr>
      <w:r w:rsidRPr="00365834">
        <w:t>Provide clearance for access to valves and fittings.</w:t>
      </w:r>
    </w:p>
    <w:p w14:paraId="20543510" w14:textId="77777777" w:rsidR="00147761" w:rsidRPr="00365834" w:rsidRDefault="00147761" w:rsidP="00CD4998">
      <w:pPr>
        <w:pStyle w:val="Paragraph-CFS"/>
      </w:pPr>
      <w:r w:rsidRPr="00365834">
        <w:t>Protect piping systems from entry of foreign materials by temporary covers, completing sections of the work, and isolating parts of the completed system.</w:t>
      </w:r>
    </w:p>
    <w:p w14:paraId="598465FA" w14:textId="328189A1" w:rsidR="00147761" w:rsidRDefault="00147761" w:rsidP="00CD4998">
      <w:pPr>
        <w:pStyle w:val="Paragraph-CFS"/>
      </w:pPr>
      <w:r w:rsidRPr="00365834">
        <w:t>Install unions, couplings, valves, and flexible connectors in accordance with manufacturers’ recommendations.</w:t>
      </w:r>
    </w:p>
    <w:p w14:paraId="2E89C0AD" w14:textId="75B188DB" w:rsidR="00A8249E" w:rsidRDefault="00A8249E" w:rsidP="00A8249E">
      <w:pPr>
        <w:pStyle w:val="Paragraph-CFS"/>
        <w:numPr>
          <w:ilvl w:val="0"/>
          <w:numId w:val="0"/>
        </w:numPr>
        <w:ind w:left="1080" w:hanging="360"/>
      </w:pPr>
    </w:p>
    <w:p w14:paraId="36DC3BDC" w14:textId="39F13BF7" w:rsidR="00A8249E" w:rsidRDefault="00A8249E" w:rsidP="00A8249E">
      <w:pPr>
        <w:pStyle w:val="Paragraph-CFS"/>
        <w:numPr>
          <w:ilvl w:val="0"/>
          <w:numId w:val="0"/>
        </w:numPr>
        <w:ind w:left="1080" w:hanging="360"/>
      </w:pPr>
    </w:p>
    <w:p w14:paraId="769652C9" w14:textId="7FF2E3F9" w:rsidR="00A8249E" w:rsidRDefault="00A8249E" w:rsidP="00A8249E">
      <w:pPr>
        <w:pStyle w:val="Paragraph-CFS"/>
        <w:numPr>
          <w:ilvl w:val="0"/>
          <w:numId w:val="0"/>
        </w:numPr>
        <w:ind w:left="1080" w:hanging="360"/>
      </w:pPr>
    </w:p>
    <w:p w14:paraId="2420CA82" w14:textId="1905AB3B" w:rsidR="00A8249E" w:rsidRDefault="00A8249E" w:rsidP="00A8249E">
      <w:pPr>
        <w:pStyle w:val="Paragraph-CFS"/>
        <w:numPr>
          <w:ilvl w:val="0"/>
          <w:numId w:val="0"/>
        </w:numPr>
        <w:ind w:left="1080" w:hanging="360"/>
      </w:pPr>
    </w:p>
    <w:p w14:paraId="0986AD49" w14:textId="0EB27B80" w:rsidR="00A8249E" w:rsidRDefault="00A8249E" w:rsidP="00A8249E">
      <w:pPr>
        <w:pStyle w:val="Paragraph-CFS"/>
        <w:numPr>
          <w:ilvl w:val="0"/>
          <w:numId w:val="0"/>
        </w:numPr>
        <w:ind w:left="1080" w:hanging="360"/>
      </w:pPr>
    </w:p>
    <w:p w14:paraId="703896E4" w14:textId="4601AE46" w:rsidR="00A8249E" w:rsidRDefault="00A8249E" w:rsidP="00A8249E">
      <w:pPr>
        <w:pStyle w:val="Paragraph-CFS"/>
        <w:numPr>
          <w:ilvl w:val="0"/>
          <w:numId w:val="0"/>
        </w:numPr>
        <w:ind w:left="1080" w:hanging="360"/>
      </w:pPr>
    </w:p>
    <w:p w14:paraId="4987A09A" w14:textId="77777777" w:rsidR="00A8249E" w:rsidRPr="00365834" w:rsidRDefault="00A8249E" w:rsidP="00A8249E">
      <w:pPr>
        <w:pStyle w:val="Paragraph-CFS"/>
        <w:numPr>
          <w:ilvl w:val="0"/>
          <w:numId w:val="0"/>
        </w:numPr>
        <w:ind w:left="1080" w:hanging="360"/>
      </w:pPr>
    </w:p>
    <w:p w14:paraId="47490661" w14:textId="5F906CC7" w:rsidR="00147761" w:rsidRPr="007E46C6" w:rsidRDefault="00147761" w:rsidP="00A8249E">
      <w:pPr>
        <w:pStyle w:val="Heading-CFS"/>
      </w:pPr>
      <w:r w:rsidRPr="007E46C6">
        <w:lastRenderedPageBreak/>
        <w:t>UNDERGROUND PIPING INSTALLATION</w:t>
      </w:r>
    </w:p>
    <w:p w14:paraId="578699EB" w14:textId="77777777" w:rsidR="00147761" w:rsidRPr="00365834" w:rsidRDefault="00147761" w:rsidP="00CA0304">
      <w:pPr>
        <w:pStyle w:val="Paragraph-CFS"/>
        <w:numPr>
          <w:ilvl w:val="0"/>
          <w:numId w:val="91"/>
        </w:numPr>
      </w:pPr>
      <w:r w:rsidRPr="00365834">
        <w:t>Install in accordance with manufac</w:t>
      </w:r>
      <w:r w:rsidR="00095EDD" w:rsidRPr="00365834">
        <w:t>turer’s instructions and PEI/RP1</w:t>
      </w:r>
      <w:r w:rsidRPr="00365834">
        <w:t>00-92.</w:t>
      </w:r>
    </w:p>
    <w:p w14:paraId="61CBAEAD" w14:textId="0EA5E55F" w:rsidR="00147761" w:rsidRPr="00365834" w:rsidRDefault="00147761" w:rsidP="00CA0304">
      <w:pPr>
        <w:pStyle w:val="Paragraph-CFS"/>
        <w:numPr>
          <w:ilvl w:val="0"/>
          <w:numId w:val="91"/>
        </w:numPr>
      </w:pPr>
      <w:r w:rsidRPr="00365834">
        <w:t>Inspect all materials for signs of damage and confirm compliance with specifications.</w:t>
      </w:r>
    </w:p>
    <w:p w14:paraId="5DF908AC" w14:textId="77777777" w:rsidR="00147761" w:rsidRPr="00365834" w:rsidRDefault="00147761" w:rsidP="00CA0304">
      <w:pPr>
        <w:pStyle w:val="Paragraph-CFS"/>
        <w:numPr>
          <w:ilvl w:val="0"/>
          <w:numId w:val="91"/>
        </w:numPr>
      </w:pPr>
      <w:r w:rsidRPr="00365834">
        <w:t>Avoid damage to piping materials or coatings during handling, installation and testing.</w:t>
      </w:r>
    </w:p>
    <w:p w14:paraId="35CEA8EB" w14:textId="77777777" w:rsidR="00147761" w:rsidRPr="00365834" w:rsidRDefault="00147761" w:rsidP="00CA0304">
      <w:pPr>
        <w:pStyle w:val="Paragraph-CFS"/>
        <w:numPr>
          <w:ilvl w:val="0"/>
          <w:numId w:val="91"/>
        </w:numPr>
      </w:pPr>
      <w:r w:rsidRPr="00365834">
        <w:t>Secondary containment piping must slope to piping sump at a minimum 1/8” per foot.</w:t>
      </w:r>
    </w:p>
    <w:p w14:paraId="54331191" w14:textId="77777777" w:rsidR="00147761" w:rsidRPr="00365834" w:rsidRDefault="00147761" w:rsidP="00CA0304">
      <w:pPr>
        <w:pStyle w:val="Paragraph-CFS"/>
        <w:numPr>
          <w:ilvl w:val="0"/>
          <w:numId w:val="91"/>
        </w:numPr>
      </w:pPr>
      <w:r w:rsidRPr="00365834">
        <w:t>Trench and backfill per manufacturer’s instructions.</w:t>
      </w:r>
    </w:p>
    <w:p w14:paraId="4635CB7B" w14:textId="77777777" w:rsidR="00147761" w:rsidRPr="00365834" w:rsidRDefault="00147761" w:rsidP="00CA0304">
      <w:pPr>
        <w:pStyle w:val="Paragraph-CFS"/>
        <w:numPr>
          <w:ilvl w:val="0"/>
          <w:numId w:val="91"/>
        </w:numPr>
      </w:pPr>
      <w:r w:rsidRPr="00365834">
        <w:t>Test primary and secondary pipe for integrity using pressurized air per manufacturer’s instructions.</w:t>
      </w:r>
    </w:p>
    <w:p w14:paraId="18CC056D" w14:textId="77777777" w:rsidR="00147761" w:rsidRPr="00365834" w:rsidRDefault="00147761" w:rsidP="00CA0304">
      <w:pPr>
        <w:pStyle w:val="Paragraph-CFS"/>
        <w:numPr>
          <w:ilvl w:val="0"/>
          <w:numId w:val="91"/>
        </w:numPr>
      </w:pPr>
      <w:r w:rsidRPr="00365834">
        <w:t>Protect piping systems from entry of foreign materials by temporary covers, completing sections of the work and isolating parts of the completed system.</w:t>
      </w:r>
    </w:p>
    <w:p w14:paraId="65F8F4F8" w14:textId="20B5BE79" w:rsidR="00147761" w:rsidRPr="007E46C6" w:rsidRDefault="00147761" w:rsidP="00A8249E">
      <w:pPr>
        <w:pStyle w:val="Heading-CFS"/>
      </w:pPr>
      <w:r w:rsidRPr="007E46C6">
        <w:t>TANK LEVEL AND LEAK MONITORING SYSTEM INSTALLATION</w:t>
      </w:r>
    </w:p>
    <w:p w14:paraId="1ADACE26" w14:textId="77777777" w:rsidR="00147761" w:rsidRPr="00365834" w:rsidRDefault="00147761" w:rsidP="00CA0304">
      <w:pPr>
        <w:pStyle w:val="Paragraph-CFS"/>
        <w:numPr>
          <w:ilvl w:val="0"/>
          <w:numId w:val="92"/>
        </w:numPr>
      </w:pPr>
      <w:r w:rsidRPr="00365834">
        <w:t>Install in strict accordance with the manufacturer’s recommendations, National Electrical Code NFPA 70, and NFPA 30A.</w:t>
      </w:r>
    </w:p>
    <w:p w14:paraId="57234B8A" w14:textId="77777777" w:rsidR="00147761" w:rsidRPr="00365834" w:rsidRDefault="00147761" w:rsidP="00CA0304">
      <w:pPr>
        <w:pStyle w:val="Paragraph-CFS"/>
        <w:numPr>
          <w:ilvl w:val="0"/>
          <w:numId w:val="92"/>
        </w:numPr>
      </w:pPr>
      <w:r w:rsidRPr="00365834">
        <w:t>Electrical work shall be rated for hazardous area as required.</w:t>
      </w:r>
    </w:p>
    <w:p w14:paraId="0015CEC5" w14:textId="77777777" w:rsidR="00147761" w:rsidRPr="00365834" w:rsidRDefault="00147761" w:rsidP="00CA0304">
      <w:pPr>
        <w:pStyle w:val="Paragraph-CFS"/>
        <w:numPr>
          <w:ilvl w:val="0"/>
          <w:numId w:val="92"/>
        </w:numPr>
      </w:pPr>
      <w:r w:rsidRPr="00365834">
        <w:t>Install the monitoring system control panel as indicated on the drawings.</w:t>
      </w:r>
    </w:p>
    <w:p w14:paraId="5FAA02AD" w14:textId="77777777" w:rsidR="00147761" w:rsidRPr="00365834" w:rsidRDefault="00132853" w:rsidP="00CA0304">
      <w:pPr>
        <w:pStyle w:val="Paragraph-CFS"/>
        <w:numPr>
          <w:ilvl w:val="0"/>
          <w:numId w:val="92"/>
        </w:numPr>
      </w:pPr>
      <w:r w:rsidRPr="00365834">
        <w:t>Install the tank level transmitter</w:t>
      </w:r>
      <w:r w:rsidR="00147761" w:rsidRPr="00365834">
        <w:t xml:space="preserve"> and the interstitial leak probe in the proper locations in the fuel tank.  Install the piping sump sensor in the piping sump.</w:t>
      </w:r>
    </w:p>
    <w:p w14:paraId="1835A003" w14:textId="77777777" w:rsidR="00147761" w:rsidRPr="00365834" w:rsidRDefault="00147761" w:rsidP="00CA0304">
      <w:pPr>
        <w:pStyle w:val="Paragraph-CFS"/>
        <w:numPr>
          <w:ilvl w:val="0"/>
          <w:numId w:val="92"/>
        </w:numPr>
      </w:pPr>
      <w:r w:rsidRPr="00365834">
        <w:t xml:space="preserve">Install the overfill </w:t>
      </w:r>
      <w:r w:rsidR="00132853" w:rsidRPr="00365834">
        <w:t xml:space="preserve">alarm as specified and </w:t>
      </w:r>
      <w:r w:rsidRPr="00365834">
        <w:t>as shown in the plan.</w:t>
      </w:r>
    </w:p>
    <w:p w14:paraId="5C484930" w14:textId="77777777" w:rsidR="00147761" w:rsidRPr="00365834" w:rsidRDefault="00147761" w:rsidP="00CA0304">
      <w:pPr>
        <w:pStyle w:val="Paragraph-CFS"/>
        <w:numPr>
          <w:ilvl w:val="0"/>
          <w:numId w:val="92"/>
        </w:numPr>
      </w:pPr>
      <w:r w:rsidRPr="00365834">
        <w:t>The leak monitoring system installation shall be inspected and approved by the equipment supplier or its certified contractor.  The leak monitoring system supplier shall submit a comprehensive check-list of quality and safety items critical to the system and verify that the installation has been in accordance with these standards and applicable fire and environmental codes.</w:t>
      </w:r>
    </w:p>
    <w:p w14:paraId="5C2C95D2" w14:textId="7F2099B5" w:rsidR="00147761" w:rsidRPr="007E46C6" w:rsidRDefault="00147761" w:rsidP="00A8249E">
      <w:pPr>
        <w:pStyle w:val="Heading-CFS"/>
      </w:pPr>
      <w:r w:rsidRPr="00A8249E">
        <w:t>FIELD</w:t>
      </w:r>
      <w:r w:rsidRPr="007E46C6">
        <w:t xml:space="preserve"> QUALITY CONTROL</w:t>
      </w:r>
    </w:p>
    <w:p w14:paraId="357C7BE5" w14:textId="77777777" w:rsidR="00147761" w:rsidRPr="00365834" w:rsidRDefault="00147761" w:rsidP="00CA0304">
      <w:pPr>
        <w:pStyle w:val="Paragraph-CFS"/>
        <w:numPr>
          <w:ilvl w:val="0"/>
          <w:numId w:val="93"/>
        </w:numPr>
      </w:pPr>
      <w:r w:rsidRPr="00365834">
        <w:t>Test fuel distribution system according to NFPA 30.  Replace leaking joints and connections with new materials.</w:t>
      </w:r>
    </w:p>
    <w:p w14:paraId="03A9DB88" w14:textId="77777777" w:rsidR="00147761" w:rsidRPr="00365834" w:rsidRDefault="00147761" w:rsidP="00CD4998">
      <w:pPr>
        <w:pStyle w:val="Paragraph-CFS"/>
      </w:pPr>
      <w:r w:rsidRPr="00365834">
        <w:t>Test and adjust fuel management and leak monitoring systems controls and devices.  Replace damaged and malfunctioning controls and devices.</w:t>
      </w:r>
    </w:p>
    <w:p w14:paraId="2657B3FE" w14:textId="77777777" w:rsidR="00147761" w:rsidRPr="00365834" w:rsidRDefault="00147761" w:rsidP="00CD4998">
      <w:pPr>
        <w:pStyle w:val="Paragraph-CFS"/>
      </w:pPr>
      <w:r w:rsidRPr="00365834">
        <w:t>Submit reports of test and procedures in writing to the Engineer.</w:t>
      </w:r>
    </w:p>
    <w:p w14:paraId="0DA0EAF9" w14:textId="7C0BE85D" w:rsidR="00147761" w:rsidRPr="007E46C6" w:rsidRDefault="00147761" w:rsidP="00A8249E">
      <w:pPr>
        <w:pStyle w:val="Heading-CFS"/>
      </w:pPr>
      <w:r w:rsidRPr="00A8249E">
        <w:t>DEMONSTRATION</w:t>
      </w:r>
      <w:r w:rsidR="00E33DC8">
        <w:t xml:space="preserve"> AND TRAINING </w:t>
      </w:r>
    </w:p>
    <w:p w14:paraId="716301CF" w14:textId="77777777" w:rsidR="00147761" w:rsidRPr="00365834" w:rsidRDefault="00147761" w:rsidP="00CA0304">
      <w:pPr>
        <w:pStyle w:val="Paragraph-CFS"/>
        <w:numPr>
          <w:ilvl w:val="0"/>
          <w:numId w:val="94"/>
        </w:numPr>
      </w:pPr>
      <w:r w:rsidRPr="00365834">
        <w:t>Train Owner’s maintenance personnel on procedures and schedules related to start-up and shutdown, troubleshooting, servicing, and preventive maintenance.</w:t>
      </w:r>
    </w:p>
    <w:p w14:paraId="7E495A9B" w14:textId="7329005F" w:rsidR="00147761" w:rsidRDefault="00147761" w:rsidP="00CA0304">
      <w:pPr>
        <w:pStyle w:val="Paragraph-CFS"/>
        <w:numPr>
          <w:ilvl w:val="0"/>
          <w:numId w:val="94"/>
        </w:numPr>
      </w:pPr>
      <w:r w:rsidRPr="00365834">
        <w:t>Representatives of equipment suppliers for the fuel tanks, fuel pumps, day tanks, and leak monitoring system shall provide necessary training and technical support to the Owner so that the Owner may properly operate and maintain the systems.</w:t>
      </w:r>
    </w:p>
    <w:p w14:paraId="070020D8" w14:textId="2AF8BA57" w:rsidR="00A8249E" w:rsidRDefault="00A8249E" w:rsidP="00A8249E">
      <w:pPr>
        <w:pStyle w:val="Paragraph-CFS"/>
        <w:numPr>
          <w:ilvl w:val="0"/>
          <w:numId w:val="0"/>
        </w:numPr>
        <w:ind w:left="1080" w:hanging="360"/>
      </w:pPr>
    </w:p>
    <w:p w14:paraId="2311541A" w14:textId="6AD441A2" w:rsidR="00A8249E" w:rsidRDefault="00A8249E" w:rsidP="00A8249E">
      <w:pPr>
        <w:pStyle w:val="Paragraph-CFS"/>
        <w:numPr>
          <w:ilvl w:val="0"/>
          <w:numId w:val="0"/>
        </w:numPr>
        <w:ind w:left="1080" w:hanging="360"/>
      </w:pPr>
    </w:p>
    <w:p w14:paraId="6BE6DC09" w14:textId="77777777" w:rsidR="00A8249E" w:rsidRPr="00365834" w:rsidRDefault="00A8249E" w:rsidP="00A8249E">
      <w:pPr>
        <w:pStyle w:val="Paragraph-CFS"/>
        <w:numPr>
          <w:ilvl w:val="0"/>
          <w:numId w:val="0"/>
        </w:numPr>
        <w:ind w:left="1080" w:hanging="360"/>
      </w:pPr>
    </w:p>
    <w:p w14:paraId="5F25E89D" w14:textId="7B9C33F0" w:rsidR="00147761" w:rsidRPr="007E46C6" w:rsidRDefault="00147761" w:rsidP="00A8249E">
      <w:pPr>
        <w:pStyle w:val="Heading-CFS"/>
      </w:pPr>
      <w:r w:rsidRPr="00A8249E">
        <w:t>COMMISSIONING</w:t>
      </w:r>
    </w:p>
    <w:p w14:paraId="4C59B610" w14:textId="77777777" w:rsidR="00147761" w:rsidRPr="00365834" w:rsidRDefault="00147761" w:rsidP="00CA0304">
      <w:pPr>
        <w:pStyle w:val="Paragraph-CFS"/>
        <w:numPr>
          <w:ilvl w:val="0"/>
          <w:numId w:val="95"/>
        </w:numPr>
      </w:pPr>
      <w:r w:rsidRPr="00365834">
        <w:t>Before activating the system perform these steps:</w:t>
      </w:r>
    </w:p>
    <w:p w14:paraId="28AA544A" w14:textId="77777777" w:rsidR="00147761" w:rsidRPr="00365834" w:rsidRDefault="00147761" w:rsidP="00CA0304">
      <w:pPr>
        <w:pStyle w:val="Detail-CFS"/>
        <w:numPr>
          <w:ilvl w:val="0"/>
          <w:numId w:val="96"/>
        </w:numPr>
      </w:pPr>
      <w:r w:rsidRPr="00365834">
        <w:t>Flush system piping with grade of fuel to be used by owner to remove any debris and foreign matter in piping prior to filling tank for the first time.  Service all system filters and screens and dispose of fuel in accordance with EPA and NFPA regulations after flushing.</w:t>
      </w:r>
    </w:p>
    <w:p w14:paraId="29705182" w14:textId="77777777" w:rsidR="00147761" w:rsidRPr="00365834" w:rsidRDefault="00147761" w:rsidP="00CD4998">
      <w:pPr>
        <w:pStyle w:val="Paragraph-CFS"/>
      </w:pPr>
      <w:r w:rsidRPr="00365834">
        <w:t>Perform a complete system commissioning in accordance with the approved commissioning plan.</w:t>
      </w:r>
    </w:p>
    <w:p w14:paraId="54F3ABA9" w14:textId="77777777" w:rsidR="00147761" w:rsidRPr="00365834" w:rsidRDefault="00147761" w:rsidP="00A338BA">
      <w:pPr>
        <w:spacing w:before="240"/>
        <w:rPr>
          <w:rFonts w:ascii="Arial" w:hAnsi="Arial" w:cs="Arial"/>
          <w:sz w:val="24"/>
          <w:szCs w:val="24"/>
        </w:rPr>
      </w:pPr>
    </w:p>
    <w:p w14:paraId="230D5E85" w14:textId="3683993A" w:rsidR="00147761" w:rsidRPr="00365834" w:rsidRDefault="00147761" w:rsidP="00B34E59">
      <w:pPr>
        <w:jc w:val="center"/>
        <w:rPr>
          <w:rFonts w:ascii="Arial" w:hAnsi="Arial" w:cs="Arial"/>
          <w:sz w:val="24"/>
          <w:szCs w:val="24"/>
        </w:rPr>
      </w:pPr>
      <w:r w:rsidRPr="00365834">
        <w:rPr>
          <w:rFonts w:ascii="Arial" w:hAnsi="Arial" w:cs="Arial"/>
          <w:sz w:val="24"/>
          <w:szCs w:val="24"/>
        </w:rPr>
        <w:t xml:space="preserve">END OF SECTION </w:t>
      </w:r>
      <w:r w:rsidR="00725AED" w:rsidRPr="00365834">
        <w:rPr>
          <w:rFonts w:ascii="Arial" w:hAnsi="Arial" w:cs="Arial"/>
          <w:sz w:val="24"/>
          <w:szCs w:val="24"/>
        </w:rPr>
        <w:t>23</w:t>
      </w:r>
      <w:r w:rsidR="00D96E20">
        <w:rPr>
          <w:rFonts w:ascii="Arial" w:hAnsi="Arial" w:cs="Arial"/>
          <w:sz w:val="24"/>
          <w:szCs w:val="24"/>
        </w:rPr>
        <w:t xml:space="preserve"> </w:t>
      </w:r>
      <w:r w:rsidR="00365834">
        <w:rPr>
          <w:rFonts w:ascii="Arial" w:hAnsi="Arial" w:cs="Arial"/>
          <w:sz w:val="24"/>
          <w:szCs w:val="24"/>
        </w:rPr>
        <w:t>XX</w:t>
      </w:r>
      <w:r w:rsidR="00D96E20">
        <w:rPr>
          <w:rFonts w:ascii="Arial" w:hAnsi="Arial" w:cs="Arial"/>
          <w:sz w:val="24"/>
          <w:szCs w:val="24"/>
        </w:rPr>
        <w:t xml:space="preserve"> </w:t>
      </w:r>
      <w:proofErr w:type="spellStart"/>
      <w:r w:rsidR="00365834">
        <w:rPr>
          <w:rFonts w:ascii="Arial" w:hAnsi="Arial" w:cs="Arial"/>
          <w:sz w:val="24"/>
          <w:szCs w:val="24"/>
        </w:rPr>
        <w:t>XX</w:t>
      </w:r>
      <w:proofErr w:type="spellEnd"/>
    </w:p>
    <w:p w14:paraId="52EFCBEA" w14:textId="77777777" w:rsidR="00147761" w:rsidRPr="00365834" w:rsidRDefault="00147761" w:rsidP="00A338BA">
      <w:pPr>
        <w:rPr>
          <w:rFonts w:ascii="Arial" w:hAnsi="Arial" w:cs="Arial"/>
          <w:sz w:val="24"/>
          <w:szCs w:val="24"/>
        </w:rPr>
      </w:pPr>
    </w:p>
    <w:sectPr w:rsidR="00147761"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78412" w14:textId="77777777" w:rsidR="007661A5" w:rsidRDefault="007661A5">
      <w:r>
        <w:separator/>
      </w:r>
    </w:p>
  </w:endnote>
  <w:endnote w:type="continuationSeparator" w:id="0">
    <w:p w14:paraId="23F8E236" w14:textId="77777777" w:rsidR="007661A5" w:rsidRDefault="0076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3FB7EC39" w:rsidR="00B279DE" w:rsidRPr="00445847" w:rsidRDefault="00E33DC8">
    <w:pPr>
      <w:tabs>
        <w:tab w:val="left" w:pos="0"/>
      </w:tabs>
      <w:jc w:val="center"/>
      <w:rPr>
        <w:rFonts w:ascii="Arial" w:hAnsi="Arial" w:cs="Arial"/>
        <w:sz w:val="22"/>
        <w:szCs w:val="22"/>
      </w:rPr>
    </w:pPr>
    <w:r>
      <w:rPr>
        <w:rFonts w:ascii="Arial" w:hAnsi="Arial" w:cs="Arial"/>
        <w:sz w:val="22"/>
        <w:szCs w:val="22"/>
      </w:rPr>
      <w:t>April 6, 2020</w:t>
    </w:r>
  </w:p>
  <w:p w14:paraId="25320D70" w14:textId="60F6522C"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proofErr w:type="spellStart"/>
    <w:r>
      <w:rPr>
        <w:rFonts w:ascii="Arial" w:hAnsi="Arial" w:cs="Arial"/>
      </w:rPr>
      <w:t>XX</w:t>
    </w:r>
    <w:proofErr w:type="spellEnd"/>
    <w:r w:rsidR="002F3E26">
      <w:rPr>
        <w:rFonts w:ascii="Arial" w:hAnsi="Arial" w:cs="Arial"/>
      </w:rPr>
      <w:t xml:space="preserve"> </w:t>
    </w:r>
    <w:r w:rsidRPr="00F955DA">
      <w:rPr>
        <w:rFonts w:ascii="Arial" w:hAnsi="Arial" w:cs="Arial"/>
      </w:rPr>
      <w:t>-</w:t>
    </w:r>
    <w:r w:rsidR="002F3E26">
      <w:rPr>
        <w:rFonts w:ascii="Arial" w:hAnsi="Arial" w:cs="Arial"/>
      </w:rPr>
      <w:t xml:space="preserve"> </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3D5468">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3D5468">
      <w:rPr>
        <w:rStyle w:val="PageNumber"/>
        <w:rFonts w:ascii="Arial" w:hAnsi="Arial" w:cs="Arial"/>
        <w:noProof/>
      </w:rPr>
      <w:t>9</w:t>
    </w:r>
    <w:r w:rsidRPr="00F955DA">
      <w:rPr>
        <w:rStyle w:val="PageNumber"/>
        <w:rFonts w:ascii="Arial" w:hAnsi="Arial" w:cs="Arial"/>
      </w:rPr>
      <w:fldChar w:fldCharType="end"/>
    </w:r>
    <w:r w:rsidRPr="00F955DA">
      <w:rPr>
        <w:rStyle w:val="PageNumber"/>
        <w:rFonts w:ascii="Arial" w:hAnsi="Arial" w:cs="Arial"/>
      </w:rPr>
      <w:t xml:space="preserve"> </w:t>
    </w:r>
  </w:p>
  <w:p w14:paraId="64BB4543" w14:textId="77777777" w:rsidR="001B19C5" w:rsidRPr="00F955DA" w:rsidRDefault="001B19C5"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BB5CF" w14:textId="77777777" w:rsidR="007661A5" w:rsidRDefault="007661A5">
      <w:r>
        <w:separator/>
      </w:r>
    </w:p>
  </w:footnote>
  <w:footnote w:type="continuationSeparator" w:id="0">
    <w:p w14:paraId="0F8A2070" w14:textId="77777777" w:rsidR="007661A5" w:rsidRDefault="0076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B5BA" w14:textId="77777777" w:rsidR="001B19C5" w:rsidRDefault="001B19C5">
    <w:pPr>
      <w:pStyle w:val="Header"/>
      <w:rPr>
        <w:rFonts w:ascii="Arial" w:hAnsi="Arial" w:cs="Arial"/>
      </w:rPr>
    </w:pPr>
  </w:p>
  <w:p w14:paraId="2CC769B7" w14:textId="47D697B4"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3D5468">
      <w:rPr>
        <w:rFonts w:ascii="Arial" w:hAnsi="Arial" w:cs="Arial"/>
      </w:rPr>
      <w:t>CFS-</w:t>
    </w:r>
    <w:r w:rsidR="00A8249E">
      <w:rPr>
        <w:rFonts w:ascii="Arial" w:hAnsi="Arial" w:cs="Arial"/>
      </w:rPr>
      <w:t>99</w:t>
    </w:r>
    <w:r w:rsidR="00F861F1">
      <w:rPr>
        <w:rFonts w:ascii="Arial" w:hAnsi="Arial" w:cs="Arial"/>
      </w:rPr>
      <w:t xml:space="preserve"> Master </w:t>
    </w:r>
    <w:r w:rsidR="002F3E26">
      <w:rPr>
        <w:rFonts w:ascii="Arial" w:hAnsi="Arial" w:cs="Arial"/>
      </w:rPr>
      <w:t xml:space="preserve">Specification </w:t>
    </w:r>
    <w:r w:rsidR="00F861F1">
      <w:rPr>
        <w:rFonts w:ascii="Arial" w:hAnsi="Arial" w:cs="Arial"/>
      </w:rPr>
      <w:t>Close</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3B32208"/>
    <w:multiLevelType w:val="hybridMultilevel"/>
    <w:tmpl w:val="79E0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34272"/>
    <w:multiLevelType w:val="hybridMultilevel"/>
    <w:tmpl w:val="FC34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A6"/>
    <w:multiLevelType w:val="hybridMultilevel"/>
    <w:tmpl w:val="669A9734"/>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CA26025"/>
    <w:multiLevelType w:val="hybridMultilevel"/>
    <w:tmpl w:val="6EE49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532A"/>
    <w:multiLevelType w:val="hybridMultilevel"/>
    <w:tmpl w:val="3738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4DA"/>
    <w:multiLevelType w:val="hybridMultilevel"/>
    <w:tmpl w:val="9188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41860"/>
    <w:multiLevelType w:val="hybridMultilevel"/>
    <w:tmpl w:val="A5E61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64D80"/>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9" w15:restartNumberingAfterBreak="0">
    <w:nsid w:val="21334DB9"/>
    <w:multiLevelType w:val="hybridMultilevel"/>
    <w:tmpl w:val="F1BC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974D7"/>
    <w:multiLevelType w:val="multilevel"/>
    <w:tmpl w:val="B52852CC"/>
    <w:lvl w:ilvl="0">
      <w:start w:val="1"/>
      <w:numFmt w:val="decimal"/>
      <w:lvlText w:val="%1"/>
      <w:lvlJc w:val="left"/>
      <w:pPr>
        <w:ind w:left="620" w:hanging="620"/>
      </w:pPr>
      <w:rPr>
        <w:rFonts w:hint="default"/>
      </w:rPr>
    </w:lvl>
    <w:lvl w:ilvl="1">
      <w:start w:val="1"/>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2146698"/>
    <w:multiLevelType w:val="hybridMultilevel"/>
    <w:tmpl w:val="3A70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561F1"/>
    <w:multiLevelType w:val="hybridMultilevel"/>
    <w:tmpl w:val="0AB87D5E"/>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D82A13"/>
    <w:multiLevelType w:val="multilevel"/>
    <w:tmpl w:val="83C6CD30"/>
    <w:lvl w:ilvl="0">
      <w:start w:val="3"/>
      <w:numFmt w:val="decimal"/>
      <w:lvlText w:val="%1"/>
      <w:lvlJc w:val="left"/>
      <w:pPr>
        <w:ind w:left="620" w:hanging="620"/>
      </w:pPr>
      <w:rPr>
        <w:rFonts w:hint="default"/>
      </w:rPr>
    </w:lvl>
    <w:lvl w:ilvl="1">
      <w:start w:val="1"/>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62B31FC"/>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15"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6" w15:restartNumberingAfterBreak="0">
    <w:nsid w:val="4F8C0327"/>
    <w:multiLevelType w:val="hybridMultilevel"/>
    <w:tmpl w:val="0F48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11149"/>
    <w:multiLevelType w:val="hybridMultilevel"/>
    <w:tmpl w:val="13F28A8E"/>
    <w:lvl w:ilvl="0" w:tplc="E5B6F904">
      <w:start w:val="1"/>
      <w:numFmt w:val="decimal"/>
      <w:lvlText w:val="%1."/>
      <w:lvlJc w:val="left"/>
      <w:pPr>
        <w:tabs>
          <w:tab w:val="num" w:pos="1440"/>
        </w:tabs>
        <w:ind w:left="1440" w:hanging="576"/>
      </w:pPr>
      <w:rPr>
        <w:rFonts w:hint="default"/>
      </w:rPr>
    </w:lvl>
    <w:lvl w:ilvl="1" w:tplc="7DE4FCAC">
      <w:start w:val="1"/>
      <w:numFmt w:val="lowerLetter"/>
      <w:lvlText w:val="%2."/>
      <w:lvlJc w:val="left"/>
      <w:pPr>
        <w:tabs>
          <w:tab w:val="num" w:pos="1440"/>
        </w:tabs>
        <w:ind w:left="1440" w:hanging="360"/>
      </w:pPr>
      <w:rPr>
        <w:rFonts w:hint="default"/>
      </w:rPr>
    </w:lvl>
    <w:lvl w:ilvl="2" w:tplc="0480E92E">
      <w:start w:val="1"/>
      <w:numFmt w:val="decimal"/>
      <w:lvlText w:val="%3)"/>
      <w:lvlJc w:val="left"/>
      <w:pPr>
        <w:tabs>
          <w:tab w:val="num" w:pos="2304"/>
        </w:tabs>
        <w:ind w:left="2304" w:hanging="360"/>
      </w:pPr>
      <w:rPr>
        <w:rFonts w:hint="default"/>
      </w:rPr>
    </w:lvl>
    <w:lvl w:ilvl="3" w:tplc="F014EBD8">
      <w:start w:val="1"/>
      <w:numFmt w:val="lowerLetter"/>
      <w:lvlText w:val="%4)"/>
      <w:lvlJc w:val="left"/>
      <w:pPr>
        <w:tabs>
          <w:tab w:val="num" w:pos="2592"/>
        </w:tabs>
        <w:ind w:left="2592" w:hanging="288"/>
      </w:pPr>
      <w:rPr>
        <w:rFonts w:hint="default"/>
      </w:rPr>
    </w:lvl>
    <w:lvl w:ilvl="4" w:tplc="7CB4895E">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9" w15:restartNumberingAfterBreak="0">
    <w:nsid w:val="5C2F42CA"/>
    <w:multiLevelType w:val="hybridMultilevel"/>
    <w:tmpl w:val="0706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B1807"/>
    <w:multiLevelType w:val="hybridMultilevel"/>
    <w:tmpl w:val="FC34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6AD398A"/>
    <w:multiLevelType w:val="hybridMultilevel"/>
    <w:tmpl w:val="447E1A68"/>
    <w:lvl w:ilvl="0" w:tplc="7FD470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07BC1"/>
    <w:multiLevelType w:val="hybridMultilevel"/>
    <w:tmpl w:val="B6F0C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8"/>
  </w:num>
  <w:num w:numId="3">
    <w:abstractNumId w:val="21"/>
  </w:num>
  <w:num w:numId="4">
    <w:abstractNumId w:val="17"/>
  </w:num>
  <w:num w:numId="5">
    <w:abstractNumId w:val="18"/>
  </w:num>
  <w:num w:numId="6">
    <w:abstractNumId w:val="25"/>
  </w:num>
  <w:num w:numId="7">
    <w:abstractNumId w:val="3"/>
  </w:num>
  <w:num w:numId="8">
    <w:abstractNumId w:val="12"/>
  </w:num>
  <w:num w:numId="9">
    <w:abstractNumId w:val="12"/>
    <w:lvlOverride w:ilvl="0">
      <w:startOverride w:val="1"/>
    </w:lvlOverride>
  </w:num>
  <w:num w:numId="10">
    <w:abstractNumId w:val="12"/>
    <w:lvlOverride w:ilvl="0">
      <w:startOverride w:val="9"/>
    </w:lvlOverride>
  </w:num>
  <w:num w:numId="11">
    <w:abstractNumId w:val="12"/>
    <w:lvlOverride w:ilvl="0">
      <w:startOverride w:val="1"/>
    </w:lvlOverride>
  </w:num>
  <w:num w:numId="12">
    <w:abstractNumId w:val="12"/>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25"/>
    <w:lvlOverride w:ilvl="0">
      <w:startOverride w:val="1"/>
    </w:lvlOverride>
  </w:num>
  <w:num w:numId="21">
    <w:abstractNumId w:val="12"/>
    <w:lvlOverride w:ilvl="0">
      <w:startOverride w:val="1"/>
    </w:lvlOverride>
  </w:num>
  <w:num w:numId="22">
    <w:abstractNumId w:val="15"/>
    <w:lvlOverride w:ilvl="0">
      <w:startOverride w:val="1"/>
    </w:lvlOverride>
  </w:num>
  <w:num w:numId="23">
    <w:abstractNumId w:val="15"/>
  </w:num>
  <w:num w:numId="24">
    <w:abstractNumId w:val="15"/>
    <w:lvlOverride w:ilvl="0">
      <w:startOverride w:val="1"/>
    </w:lvlOverride>
  </w:num>
  <w:num w:numId="25">
    <w:abstractNumId w:val="15"/>
    <w:lvlOverride w:ilvl="0">
      <w:startOverride w:val="1"/>
    </w:lvlOverride>
  </w:num>
  <w:num w:numId="26">
    <w:abstractNumId w:val="24"/>
  </w:num>
  <w:num w:numId="27">
    <w:abstractNumId w:val="24"/>
    <w:lvlOverride w:ilvl="0">
      <w:startOverride w:val="1"/>
    </w:lvlOverride>
  </w:num>
  <w:num w:numId="28">
    <w:abstractNumId w:val="12"/>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4"/>
    <w:lvlOverride w:ilvl="0">
      <w:startOverride w:val="1"/>
    </w:lvlOverride>
  </w:num>
  <w:num w:numId="34">
    <w:abstractNumId w:val="12"/>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24"/>
    <w:lvlOverride w:ilvl="0">
      <w:startOverride w:val="1"/>
    </w:lvlOverride>
  </w:num>
  <w:num w:numId="40">
    <w:abstractNumId w:val="12"/>
    <w:lvlOverride w:ilvl="0">
      <w:startOverride w:val="1"/>
    </w:lvlOverride>
  </w:num>
  <w:num w:numId="41">
    <w:abstractNumId w:val="15"/>
    <w:lvlOverride w:ilvl="0">
      <w:startOverride w:val="1"/>
    </w:lvlOverride>
  </w:num>
  <w:num w:numId="42">
    <w:abstractNumId w:val="24"/>
    <w:lvlOverride w:ilvl="0">
      <w:startOverride w:val="1"/>
    </w:lvlOverride>
  </w:num>
  <w:num w:numId="43">
    <w:abstractNumId w:val="15"/>
    <w:lvlOverride w:ilvl="0">
      <w:startOverride w:val="1"/>
    </w:lvlOverride>
  </w:num>
  <w:num w:numId="44">
    <w:abstractNumId w:val="24"/>
    <w:lvlOverride w:ilvl="0">
      <w:startOverride w:val="1"/>
    </w:lvlOverride>
  </w:num>
  <w:num w:numId="45">
    <w:abstractNumId w:val="15"/>
    <w:lvlOverride w:ilvl="0">
      <w:startOverride w:val="1"/>
    </w:lvlOverride>
  </w:num>
  <w:num w:numId="46">
    <w:abstractNumId w:val="12"/>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24"/>
    <w:lvlOverride w:ilvl="0">
      <w:startOverride w:val="1"/>
    </w:lvlOverride>
  </w:num>
  <w:num w:numId="50">
    <w:abstractNumId w:val="15"/>
    <w:lvlOverride w:ilvl="0">
      <w:startOverride w:val="1"/>
    </w:lvlOverride>
  </w:num>
  <w:num w:numId="51">
    <w:abstractNumId w:val="24"/>
    <w:lvlOverride w:ilvl="0">
      <w:startOverride w:val="1"/>
    </w:lvlOverride>
  </w:num>
  <w:num w:numId="52">
    <w:abstractNumId w:val="15"/>
    <w:lvlOverride w:ilvl="0">
      <w:startOverride w:val="1"/>
    </w:lvlOverride>
  </w:num>
  <w:num w:numId="53">
    <w:abstractNumId w:val="12"/>
    <w:lvlOverride w:ilvl="0">
      <w:startOverride w:val="1"/>
    </w:lvlOverride>
  </w:num>
  <w:num w:numId="54">
    <w:abstractNumId w:val="15"/>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4"/>
    <w:lvlOverride w:ilvl="0">
      <w:startOverride w:val="1"/>
    </w:lvlOverride>
  </w:num>
  <w:num w:numId="58">
    <w:abstractNumId w:val="15"/>
    <w:lvlOverride w:ilvl="0">
      <w:startOverride w:val="1"/>
    </w:lvlOverride>
  </w:num>
  <w:num w:numId="59">
    <w:abstractNumId w:val="15"/>
    <w:lvlOverride w:ilvl="0">
      <w:startOverride w:val="1"/>
    </w:lvlOverride>
  </w:num>
  <w:num w:numId="60">
    <w:abstractNumId w:val="24"/>
    <w:lvlOverride w:ilvl="0">
      <w:startOverride w:val="1"/>
    </w:lvlOverride>
  </w:num>
  <w:num w:numId="61">
    <w:abstractNumId w:val="15"/>
    <w:lvlOverride w:ilvl="0">
      <w:startOverride w:val="1"/>
    </w:lvlOverride>
  </w:num>
  <w:num w:numId="62">
    <w:abstractNumId w:val="12"/>
    <w:lvlOverride w:ilvl="0">
      <w:startOverride w:val="1"/>
    </w:lvlOverride>
  </w:num>
  <w:num w:numId="63">
    <w:abstractNumId w:val="15"/>
    <w:lvlOverride w:ilvl="0">
      <w:startOverride w:val="1"/>
    </w:lvlOverride>
  </w:num>
  <w:num w:numId="64">
    <w:abstractNumId w:val="15"/>
    <w:lvlOverride w:ilvl="0">
      <w:startOverride w:val="1"/>
    </w:lvlOverride>
  </w:num>
  <w:num w:numId="65">
    <w:abstractNumId w:val="12"/>
    <w:lvlOverride w:ilvl="0">
      <w:startOverride w:val="1"/>
    </w:lvlOverride>
  </w:num>
  <w:num w:numId="66">
    <w:abstractNumId w:val="15"/>
    <w:lvlOverride w:ilvl="0">
      <w:startOverride w:val="1"/>
    </w:lvlOverride>
  </w:num>
  <w:num w:numId="67">
    <w:abstractNumId w:val="15"/>
    <w:lvlOverride w:ilvl="0">
      <w:startOverride w:val="1"/>
    </w:lvlOverride>
  </w:num>
  <w:num w:numId="68">
    <w:abstractNumId w:val="15"/>
    <w:lvlOverride w:ilvl="0">
      <w:startOverride w:val="1"/>
    </w:lvlOverride>
  </w:num>
  <w:num w:numId="69">
    <w:abstractNumId w:val="24"/>
    <w:lvlOverride w:ilvl="0">
      <w:startOverride w:val="1"/>
    </w:lvlOverride>
  </w:num>
  <w:num w:numId="70">
    <w:abstractNumId w:val="24"/>
    <w:lvlOverride w:ilvl="0">
      <w:startOverride w:val="1"/>
    </w:lvlOverride>
  </w:num>
  <w:num w:numId="71">
    <w:abstractNumId w:val="12"/>
    <w:lvlOverride w:ilvl="0">
      <w:startOverride w:val="1"/>
    </w:lvlOverride>
  </w:num>
  <w:num w:numId="72">
    <w:abstractNumId w:val="15"/>
    <w:lvlOverride w:ilvl="0">
      <w:startOverride w:val="1"/>
    </w:lvlOverride>
  </w:num>
  <w:num w:numId="73">
    <w:abstractNumId w:val="15"/>
    <w:lvlOverride w:ilvl="0">
      <w:startOverride w:val="1"/>
    </w:lvlOverride>
  </w:num>
  <w:num w:numId="74">
    <w:abstractNumId w:val="24"/>
    <w:lvlOverride w:ilvl="0">
      <w:startOverride w:val="1"/>
    </w:lvlOverride>
  </w:num>
  <w:num w:numId="75">
    <w:abstractNumId w:val="15"/>
    <w:lvlOverride w:ilvl="0">
      <w:startOverride w:val="1"/>
    </w:lvlOverride>
  </w:num>
  <w:num w:numId="76">
    <w:abstractNumId w:val="12"/>
    <w:lvlOverride w:ilvl="0">
      <w:startOverride w:val="1"/>
    </w:lvlOverride>
  </w:num>
  <w:num w:numId="77">
    <w:abstractNumId w:val="15"/>
    <w:lvlOverride w:ilvl="0">
      <w:startOverride w:val="1"/>
    </w:lvlOverride>
  </w:num>
  <w:num w:numId="78">
    <w:abstractNumId w:val="15"/>
    <w:lvlOverride w:ilvl="0">
      <w:startOverride w:val="1"/>
    </w:lvlOverride>
  </w:num>
  <w:num w:numId="79">
    <w:abstractNumId w:val="15"/>
    <w:lvlOverride w:ilvl="0">
      <w:startOverride w:val="1"/>
    </w:lvlOverride>
  </w:num>
  <w:num w:numId="80">
    <w:abstractNumId w:val="24"/>
    <w:lvlOverride w:ilvl="0">
      <w:startOverride w:val="1"/>
    </w:lvlOverride>
  </w:num>
  <w:num w:numId="81">
    <w:abstractNumId w:val="15"/>
    <w:lvlOverride w:ilvl="0">
      <w:startOverride w:val="1"/>
    </w:lvlOverride>
  </w:num>
  <w:num w:numId="82">
    <w:abstractNumId w:val="12"/>
    <w:lvlOverride w:ilvl="0">
      <w:startOverride w:val="1"/>
    </w:lvlOverride>
  </w:num>
  <w:num w:numId="83">
    <w:abstractNumId w:val="15"/>
    <w:lvlOverride w:ilvl="0">
      <w:startOverride w:val="1"/>
    </w:lvlOverride>
  </w:num>
  <w:num w:numId="84">
    <w:abstractNumId w:val="24"/>
    <w:lvlOverride w:ilvl="0">
      <w:startOverride w:val="1"/>
    </w:lvlOverride>
  </w:num>
  <w:num w:numId="85">
    <w:abstractNumId w:val="15"/>
    <w:lvlOverride w:ilvl="0">
      <w:startOverride w:val="1"/>
    </w:lvlOverride>
  </w:num>
  <w:num w:numId="86">
    <w:abstractNumId w:val="15"/>
    <w:lvlOverride w:ilvl="0">
      <w:startOverride w:val="1"/>
    </w:lvlOverride>
  </w:num>
  <w:num w:numId="87">
    <w:abstractNumId w:val="25"/>
    <w:lvlOverride w:ilvl="0">
      <w:startOverride w:val="1"/>
    </w:lvlOverride>
  </w:num>
  <w:num w:numId="88">
    <w:abstractNumId w:val="12"/>
    <w:lvlOverride w:ilvl="0">
      <w:startOverride w:val="1"/>
    </w:lvlOverride>
  </w:num>
  <w:num w:numId="89">
    <w:abstractNumId w:val="12"/>
    <w:lvlOverride w:ilvl="0">
      <w:startOverride w:val="1"/>
    </w:lvlOverride>
  </w:num>
  <w:num w:numId="90">
    <w:abstractNumId w:val="12"/>
    <w:lvlOverride w:ilvl="0">
      <w:startOverride w:val="1"/>
    </w:lvlOverride>
  </w:num>
  <w:num w:numId="91">
    <w:abstractNumId w:val="12"/>
    <w:lvlOverride w:ilvl="0">
      <w:startOverride w:val="1"/>
    </w:lvlOverride>
  </w:num>
  <w:num w:numId="92">
    <w:abstractNumId w:val="12"/>
    <w:lvlOverride w:ilvl="0">
      <w:startOverride w:val="1"/>
    </w:lvlOverride>
  </w:num>
  <w:num w:numId="93">
    <w:abstractNumId w:val="12"/>
    <w:lvlOverride w:ilvl="0">
      <w:startOverride w:val="1"/>
    </w:lvlOverride>
  </w:num>
  <w:num w:numId="94">
    <w:abstractNumId w:val="12"/>
    <w:lvlOverride w:ilvl="0">
      <w:startOverride w:val="1"/>
    </w:lvlOverride>
  </w:num>
  <w:num w:numId="95">
    <w:abstractNumId w:val="12"/>
    <w:lvlOverride w:ilvl="0">
      <w:startOverride w:val="1"/>
    </w:lvlOverride>
  </w:num>
  <w:num w:numId="96">
    <w:abstractNumId w:val="15"/>
    <w:lvlOverride w:ilvl="0">
      <w:startOverride w:val="1"/>
    </w:lvlOverride>
  </w:num>
  <w:num w:numId="97">
    <w:abstractNumId w:val="12"/>
    <w:lvlOverride w:ilvl="0">
      <w:startOverride w:val="1"/>
    </w:lvlOverride>
  </w:num>
  <w:num w:numId="98">
    <w:abstractNumId w:val="15"/>
    <w:lvlOverride w:ilvl="0">
      <w:startOverride w:val="1"/>
    </w:lvlOverride>
  </w:num>
  <w:num w:numId="99">
    <w:abstractNumId w:val="15"/>
    <w:lvlOverride w:ilvl="0">
      <w:startOverride w:val="1"/>
    </w:lvlOverride>
  </w:num>
  <w:num w:numId="100">
    <w:abstractNumId w:val="14"/>
  </w:num>
  <w:num w:numId="101">
    <w:abstractNumId w:val="24"/>
    <w:lvlOverride w:ilvl="0">
      <w:startOverride w:val="1"/>
    </w:lvlOverride>
  </w:num>
  <w:num w:numId="102">
    <w:abstractNumId w:val="15"/>
    <w:lvlOverride w:ilvl="0">
      <w:startOverride w:val="1"/>
    </w:lvlOverride>
  </w:num>
  <w:num w:numId="103">
    <w:abstractNumId w:val="15"/>
    <w:lvlOverride w:ilvl="0">
      <w:startOverride w:val="1"/>
    </w:lvlOverride>
  </w:num>
  <w:num w:numId="104">
    <w:abstractNumId w:val="9"/>
  </w:num>
  <w:num w:numId="105">
    <w:abstractNumId w:val="5"/>
  </w:num>
  <w:num w:numId="106">
    <w:abstractNumId w:val="22"/>
  </w:num>
  <w:num w:numId="107">
    <w:abstractNumId w:val="16"/>
  </w:num>
  <w:num w:numId="108">
    <w:abstractNumId w:val="6"/>
  </w:num>
  <w:num w:numId="109">
    <w:abstractNumId w:val="11"/>
  </w:num>
  <w:num w:numId="110">
    <w:abstractNumId w:val="20"/>
  </w:num>
  <w:num w:numId="111">
    <w:abstractNumId w:val="2"/>
  </w:num>
  <w:num w:numId="112">
    <w:abstractNumId w:val="4"/>
  </w:num>
  <w:num w:numId="113">
    <w:abstractNumId w:val="7"/>
  </w:num>
  <w:num w:numId="114">
    <w:abstractNumId w:val="19"/>
  </w:num>
  <w:num w:numId="115">
    <w:abstractNumId w:val="1"/>
  </w:num>
  <w:num w:numId="116">
    <w:abstractNumId w:val="23"/>
  </w:num>
  <w:num w:numId="117">
    <w:abstractNumId w:val="12"/>
    <w:lvlOverride w:ilvl="0">
      <w:startOverride w:val="1"/>
    </w:lvlOverride>
  </w:num>
  <w:num w:numId="118">
    <w:abstractNumId w:val="12"/>
    <w:lvlOverride w:ilvl="0">
      <w:startOverride w:val="1"/>
    </w:lvlOverride>
  </w:num>
  <w:num w:numId="119">
    <w:abstractNumId w:val="15"/>
    <w:lvlOverride w:ilvl="0">
      <w:startOverride w:val="1"/>
    </w:lvlOverride>
  </w:num>
  <w:num w:numId="120">
    <w:abstractNumId w:val="15"/>
    <w:lvlOverride w:ilvl="0">
      <w:startOverride w:val="1"/>
    </w:lvlOverride>
  </w:num>
  <w:num w:numId="121">
    <w:abstractNumId w:val="12"/>
    <w:lvlOverride w:ilvl="0">
      <w:startOverride w:val="1"/>
    </w:lvlOverride>
  </w:num>
  <w:num w:numId="122">
    <w:abstractNumId w:val="25"/>
    <w:lvlOverride w:ilvl="0">
      <w:startOverride w:val="1"/>
    </w:lvlOverride>
  </w:num>
  <w:num w:numId="123">
    <w:abstractNumId w:val="12"/>
    <w:lvlOverride w:ilvl="0">
      <w:startOverride w:val="1"/>
    </w:lvlOverride>
  </w:num>
  <w:num w:numId="124">
    <w:abstractNumId w:val="13"/>
  </w:num>
  <w:num w:numId="125">
    <w:abstractNumId w:val="1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7204B"/>
    <w:rsid w:val="00072EF5"/>
    <w:rsid w:val="000810DD"/>
    <w:rsid w:val="00087D7F"/>
    <w:rsid w:val="00095EDD"/>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54D66"/>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1515"/>
    <w:rsid w:val="001B19C5"/>
    <w:rsid w:val="001B4CF2"/>
    <w:rsid w:val="001B60BD"/>
    <w:rsid w:val="001C03AF"/>
    <w:rsid w:val="001C0B25"/>
    <w:rsid w:val="001C1047"/>
    <w:rsid w:val="001C3BBD"/>
    <w:rsid w:val="001C55C6"/>
    <w:rsid w:val="001C630E"/>
    <w:rsid w:val="001D16F9"/>
    <w:rsid w:val="001E4ACF"/>
    <w:rsid w:val="001E5E58"/>
    <w:rsid w:val="001E7B91"/>
    <w:rsid w:val="001F04B4"/>
    <w:rsid w:val="001F47FF"/>
    <w:rsid w:val="001F6C36"/>
    <w:rsid w:val="0020126E"/>
    <w:rsid w:val="002020E3"/>
    <w:rsid w:val="00202B6F"/>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72750"/>
    <w:rsid w:val="0027438B"/>
    <w:rsid w:val="00276778"/>
    <w:rsid w:val="00281641"/>
    <w:rsid w:val="00282B55"/>
    <w:rsid w:val="00283559"/>
    <w:rsid w:val="00283FE9"/>
    <w:rsid w:val="002945CB"/>
    <w:rsid w:val="00295BFF"/>
    <w:rsid w:val="00296EA0"/>
    <w:rsid w:val="002A2692"/>
    <w:rsid w:val="002B0D81"/>
    <w:rsid w:val="002B5155"/>
    <w:rsid w:val="002B645B"/>
    <w:rsid w:val="002C2D53"/>
    <w:rsid w:val="002C478D"/>
    <w:rsid w:val="002C4A5C"/>
    <w:rsid w:val="002C6988"/>
    <w:rsid w:val="002D3C79"/>
    <w:rsid w:val="002D6FFA"/>
    <w:rsid w:val="002E139B"/>
    <w:rsid w:val="002E16E4"/>
    <w:rsid w:val="002E674F"/>
    <w:rsid w:val="002E7B29"/>
    <w:rsid w:val="002F3E26"/>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406FF"/>
    <w:rsid w:val="00344513"/>
    <w:rsid w:val="00352140"/>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468"/>
    <w:rsid w:val="003D5824"/>
    <w:rsid w:val="003D5A4F"/>
    <w:rsid w:val="003E57A9"/>
    <w:rsid w:val="003E75D5"/>
    <w:rsid w:val="003F3930"/>
    <w:rsid w:val="003F5DDF"/>
    <w:rsid w:val="003F6586"/>
    <w:rsid w:val="003F7638"/>
    <w:rsid w:val="00404E8D"/>
    <w:rsid w:val="00405E6C"/>
    <w:rsid w:val="00407245"/>
    <w:rsid w:val="004112D0"/>
    <w:rsid w:val="00411CB6"/>
    <w:rsid w:val="004122E4"/>
    <w:rsid w:val="0041241F"/>
    <w:rsid w:val="00416CF9"/>
    <w:rsid w:val="00420C56"/>
    <w:rsid w:val="00421E76"/>
    <w:rsid w:val="00422E7A"/>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5248"/>
    <w:rsid w:val="00482CF2"/>
    <w:rsid w:val="0048542A"/>
    <w:rsid w:val="004870F4"/>
    <w:rsid w:val="00495D2C"/>
    <w:rsid w:val="004A0DBD"/>
    <w:rsid w:val="004B1905"/>
    <w:rsid w:val="004B31C8"/>
    <w:rsid w:val="004C4D34"/>
    <w:rsid w:val="004C528F"/>
    <w:rsid w:val="004C6F3E"/>
    <w:rsid w:val="004D1566"/>
    <w:rsid w:val="004D2890"/>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6033"/>
    <w:rsid w:val="00540B4A"/>
    <w:rsid w:val="00546883"/>
    <w:rsid w:val="005535FA"/>
    <w:rsid w:val="00555359"/>
    <w:rsid w:val="00561167"/>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67"/>
    <w:rsid w:val="005E7B06"/>
    <w:rsid w:val="005F19C0"/>
    <w:rsid w:val="00600059"/>
    <w:rsid w:val="006015D8"/>
    <w:rsid w:val="00610627"/>
    <w:rsid w:val="00612C16"/>
    <w:rsid w:val="00614FED"/>
    <w:rsid w:val="00622235"/>
    <w:rsid w:val="00626F3D"/>
    <w:rsid w:val="0063157C"/>
    <w:rsid w:val="00634E8B"/>
    <w:rsid w:val="00640F5C"/>
    <w:rsid w:val="006468C2"/>
    <w:rsid w:val="006526F7"/>
    <w:rsid w:val="00653573"/>
    <w:rsid w:val="00655CDD"/>
    <w:rsid w:val="006600AE"/>
    <w:rsid w:val="00662DE3"/>
    <w:rsid w:val="0066320C"/>
    <w:rsid w:val="00670C66"/>
    <w:rsid w:val="00671A57"/>
    <w:rsid w:val="00676ADC"/>
    <w:rsid w:val="00682184"/>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705B86"/>
    <w:rsid w:val="00706143"/>
    <w:rsid w:val="00714B8C"/>
    <w:rsid w:val="00720F13"/>
    <w:rsid w:val="007244F9"/>
    <w:rsid w:val="00724CA6"/>
    <w:rsid w:val="00725AED"/>
    <w:rsid w:val="00727ED3"/>
    <w:rsid w:val="00730985"/>
    <w:rsid w:val="00735865"/>
    <w:rsid w:val="00735DAF"/>
    <w:rsid w:val="0074391F"/>
    <w:rsid w:val="00744FAD"/>
    <w:rsid w:val="00746DB4"/>
    <w:rsid w:val="00751D61"/>
    <w:rsid w:val="00753BC3"/>
    <w:rsid w:val="007576DE"/>
    <w:rsid w:val="007578D1"/>
    <w:rsid w:val="007620FD"/>
    <w:rsid w:val="007661A5"/>
    <w:rsid w:val="007668F5"/>
    <w:rsid w:val="00766D06"/>
    <w:rsid w:val="007716E8"/>
    <w:rsid w:val="00774EB2"/>
    <w:rsid w:val="00775F28"/>
    <w:rsid w:val="00784BDA"/>
    <w:rsid w:val="00784EC8"/>
    <w:rsid w:val="007874E6"/>
    <w:rsid w:val="007968BA"/>
    <w:rsid w:val="007A2918"/>
    <w:rsid w:val="007A32AF"/>
    <w:rsid w:val="007B0C26"/>
    <w:rsid w:val="007B6F59"/>
    <w:rsid w:val="007C2EDE"/>
    <w:rsid w:val="007C3B6A"/>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4424F"/>
    <w:rsid w:val="00845513"/>
    <w:rsid w:val="008502D9"/>
    <w:rsid w:val="0085517D"/>
    <w:rsid w:val="00857402"/>
    <w:rsid w:val="00860A33"/>
    <w:rsid w:val="00866EE6"/>
    <w:rsid w:val="0086701F"/>
    <w:rsid w:val="008724A6"/>
    <w:rsid w:val="00872BEB"/>
    <w:rsid w:val="00873208"/>
    <w:rsid w:val="008756D1"/>
    <w:rsid w:val="00877B6E"/>
    <w:rsid w:val="00884334"/>
    <w:rsid w:val="008860CF"/>
    <w:rsid w:val="00887C69"/>
    <w:rsid w:val="00887E1B"/>
    <w:rsid w:val="00890246"/>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659F"/>
    <w:rsid w:val="009F71D7"/>
    <w:rsid w:val="009F7484"/>
    <w:rsid w:val="009F7F83"/>
    <w:rsid w:val="00A0524E"/>
    <w:rsid w:val="00A064BF"/>
    <w:rsid w:val="00A07548"/>
    <w:rsid w:val="00A10E6A"/>
    <w:rsid w:val="00A1329B"/>
    <w:rsid w:val="00A14C04"/>
    <w:rsid w:val="00A21F0D"/>
    <w:rsid w:val="00A279E8"/>
    <w:rsid w:val="00A338BA"/>
    <w:rsid w:val="00A347A8"/>
    <w:rsid w:val="00A46BE5"/>
    <w:rsid w:val="00A54295"/>
    <w:rsid w:val="00A572D8"/>
    <w:rsid w:val="00A61F8F"/>
    <w:rsid w:val="00A63A9B"/>
    <w:rsid w:val="00A6679F"/>
    <w:rsid w:val="00A700DF"/>
    <w:rsid w:val="00A73009"/>
    <w:rsid w:val="00A73CD1"/>
    <w:rsid w:val="00A749BD"/>
    <w:rsid w:val="00A8249E"/>
    <w:rsid w:val="00A83838"/>
    <w:rsid w:val="00A87137"/>
    <w:rsid w:val="00A90909"/>
    <w:rsid w:val="00A91B6B"/>
    <w:rsid w:val="00A943D5"/>
    <w:rsid w:val="00A97EF5"/>
    <w:rsid w:val="00AA3E65"/>
    <w:rsid w:val="00AA5E31"/>
    <w:rsid w:val="00AB06E2"/>
    <w:rsid w:val="00AB1093"/>
    <w:rsid w:val="00AB33AB"/>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4296"/>
    <w:rsid w:val="00B279DE"/>
    <w:rsid w:val="00B309B2"/>
    <w:rsid w:val="00B30A6E"/>
    <w:rsid w:val="00B34E59"/>
    <w:rsid w:val="00B34F48"/>
    <w:rsid w:val="00B40A00"/>
    <w:rsid w:val="00B423D8"/>
    <w:rsid w:val="00B43ED6"/>
    <w:rsid w:val="00B45DB3"/>
    <w:rsid w:val="00B47861"/>
    <w:rsid w:val="00B47D8F"/>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904D3"/>
    <w:rsid w:val="00BA509D"/>
    <w:rsid w:val="00BB1639"/>
    <w:rsid w:val="00BB630B"/>
    <w:rsid w:val="00BC0DB0"/>
    <w:rsid w:val="00BC1C3F"/>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668D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7391"/>
    <w:rsid w:val="00D611BC"/>
    <w:rsid w:val="00D61758"/>
    <w:rsid w:val="00D73ACF"/>
    <w:rsid w:val="00D759B5"/>
    <w:rsid w:val="00D7640C"/>
    <w:rsid w:val="00D76738"/>
    <w:rsid w:val="00D772D4"/>
    <w:rsid w:val="00D80FF9"/>
    <w:rsid w:val="00D81BB1"/>
    <w:rsid w:val="00D835DA"/>
    <w:rsid w:val="00D838BF"/>
    <w:rsid w:val="00D839E2"/>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2AB"/>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071FC"/>
    <w:rsid w:val="00E15532"/>
    <w:rsid w:val="00E16311"/>
    <w:rsid w:val="00E16726"/>
    <w:rsid w:val="00E22B0D"/>
    <w:rsid w:val="00E30145"/>
    <w:rsid w:val="00E309E0"/>
    <w:rsid w:val="00E33DC8"/>
    <w:rsid w:val="00E34709"/>
    <w:rsid w:val="00E3732B"/>
    <w:rsid w:val="00E4365B"/>
    <w:rsid w:val="00E54A36"/>
    <w:rsid w:val="00E56579"/>
    <w:rsid w:val="00E57EC2"/>
    <w:rsid w:val="00E6218B"/>
    <w:rsid w:val="00E64111"/>
    <w:rsid w:val="00E64F5E"/>
    <w:rsid w:val="00E66B0E"/>
    <w:rsid w:val="00E732D0"/>
    <w:rsid w:val="00E73316"/>
    <w:rsid w:val="00E83462"/>
    <w:rsid w:val="00E86FBD"/>
    <w:rsid w:val="00E92BC4"/>
    <w:rsid w:val="00E92E60"/>
    <w:rsid w:val="00E9395C"/>
    <w:rsid w:val="00EA6665"/>
    <w:rsid w:val="00EB0A6E"/>
    <w:rsid w:val="00EB4745"/>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408B6"/>
    <w:rsid w:val="00F41E22"/>
    <w:rsid w:val="00F432FD"/>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4475"/>
    <w:rsid w:val="00FC662C"/>
    <w:rsid w:val="00FD21F9"/>
    <w:rsid w:val="00FD3EE1"/>
    <w:rsid w:val="00FD4ACD"/>
    <w:rsid w:val="00FE3BB5"/>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3"/>
      </w:numPr>
      <w:jc w:val="center"/>
      <w:outlineLvl w:val="0"/>
    </w:pPr>
    <w:rPr>
      <w:b/>
      <w:bCs/>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3"/>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3"/>
      </w:numPr>
      <w:outlineLvl w:val="3"/>
    </w:pPr>
    <w:rPr>
      <w:sz w:val="22"/>
      <w:szCs w:val="22"/>
      <w:u w:val="single"/>
    </w:rPr>
  </w:style>
  <w:style w:type="paragraph" w:styleId="Heading5">
    <w:name w:val="heading 5"/>
    <w:basedOn w:val="Normal"/>
    <w:next w:val="Normal"/>
    <w:qFormat/>
    <w:pPr>
      <w:keepNext/>
      <w:numPr>
        <w:ilvl w:val="4"/>
        <w:numId w:val="3"/>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5"/>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6"/>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8"/>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23"/>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26"/>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F861F1"/>
    <w:pPr>
      <w:pBdr>
        <w:top w:val="single" w:sz="12" w:space="1" w:color="C00000"/>
        <w:left w:val="single" w:sz="12" w:space="4" w:color="C00000"/>
        <w:bottom w:val="single" w:sz="12" w:space="1" w:color="C00000"/>
        <w:right w:val="single" w:sz="12" w:space="4" w:color="C00000"/>
      </w:pBdr>
      <w:spacing w:before="120" w:after="120"/>
    </w:pPr>
    <w:rPr>
      <w:rFonts w:ascii="Arial" w:hAnsi="Arial" w:cs="Arial"/>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F861F1"/>
    <w:rPr>
      <w:rFonts w:ascii="Arial" w:hAnsi="Arial" w:cs="Arial"/>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936C-B3C2-8644-B6A6-88A916AE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4695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9</cp:revision>
  <cp:lastPrinted>2020-01-10T19:44:00Z</cp:lastPrinted>
  <dcterms:created xsi:type="dcterms:W3CDTF">2019-03-25T19:35:00Z</dcterms:created>
  <dcterms:modified xsi:type="dcterms:W3CDTF">2020-04-06T18:52:00Z</dcterms:modified>
  <cp:category>MASTER SPECIFICATION</cp:category>
</cp:coreProperties>
</file>